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6F45" w14:textId="17AC4F17" w:rsidR="00F74EE7" w:rsidRPr="000D1E03" w:rsidRDefault="00F74EE7" w:rsidP="00AE1120">
      <w:pPr>
        <w:shd w:val="clear" w:color="auto" w:fill="FFFFFF"/>
        <w:spacing w:after="0" w:line="240" w:lineRule="auto"/>
        <w:ind w:right="-142"/>
        <w:rPr>
          <w:rFonts w:ascii="Eurobank Sans" w:eastAsia="Calibri" w:hAnsi="Eurobank Sans" w:cs="Times New Roman"/>
          <w:color w:val="021342"/>
          <w:sz w:val="24"/>
          <w:szCs w:val="24"/>
          <w:lang w:val="en-US" w:eastAsia="el-GR"/>
        </w:rPr>
      </w:pPr>
    </w:p>
    <w:p w14:paraId="168985A7" w14:textId="44784DD2" w:rsidR="0060629C" w:rsidRPr="00CC625B" w:rsidRDefault="00264DAD" w:rsidP="00AE1120">
      <w:pPr>
        <w:shd w:val="clear" w:color="auto" w:fill="FFFFFF"/>
        <w:spacing w:after="0" w:line="240" w:lineRule="auto"/>
        <w:ind w:right="-142"/>
        <w:jc w:val="center"/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</w:pPr>
      <w:r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>Postbank</w:t>
      </w:r>
      <w:r w:rsidR="00CA2C51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 </w:t>
      </w:r>
      <w:r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| 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eastAsia="el-GR"/>
        </w:rPr>
        <w:t>Το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 </w:t>
      </w:r>
      <w:r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Success Story 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eastAsia="el-GR"/>
        </w:rPr>
        <w:t>του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 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eastAsia="el-GR"/>
        </w:rPr>
        <w:t>Ομίλου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 Eurobank 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eastAsia="el-GR"/>
        </w:rPr>
        <w:t>στη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val="en-US" w:eastAsia="el-GR"/>
        </w:rPr>
        <w:t xml:space="preserve"> </w:t>
      </w:r>
      <w:r w:rsidR="0060629C" w:rsidRPr="00CC625B">
        <w:rPr>
          <w:rFonts w:ascii="Eurobank Sans" w:eastAsia="Calibri" w:hAnsi="Eurobank Sans" w:cs="Times New Roman"/>
          <w:b/>
          <w:bCs/>
          <w:color w:val="021342"/>
          <w:sz w:val="36"/>
          <w:szCs w:val="36"/>
          <w:lang w:eastAsia="el-GR"/>
        </w:rPr>
        <w:t>Βουλγαρία</w:t>
      </w:r>
    </w:p>
    <w:p w14:paraId="2F6A8774" w14:textId="77777777" w:rsidR="006A0F2A" w:rsidRPr="000D1E03" w:rsidRDefault="006A0F2A" w:rsidP="00AE1120">
      <w:pPr>
        <w:shd w:val="clear" w:color="auto" w:fill="FFFFFF"/>
        <w:spacing w:after="0" w:line="240" w:lineRule="auto"/>
        <w:ind w:right="-142"/>
        <w:jc w:val="center"/>
        <w:rPr>
          <w:rFonts w:ascii="Eurobank Sans" w:eastAsia="Calibri" w:hAnsi="Eurobank Sans" w:cs="Times New Roman"/>
          <w:b/>
          <w:bCs/>
          <w:color w:val="021342"/>
          <w:sz w:val="28"/>
          <w:szCs w:val="28"/>
          <w:lang w:val="en-US" w:eastAsia="el-GR"/>
        </w:rPr>
      </w:pPr>
    </w:p>
    <w:p w14:paraId="5845D067" w14:textId="77777777" w:rsidR="00EF07E1" w:rsidRPr="000D1E03" w:rsidRDefault="0060629C" w:rsidP="00AE1120">
      <w:pPr>
        <w:shd w:val="clear" w:color="auto" w:fill="FFFFFF"/>
        <w:spacing w:after="0" w:line="240" w:lineRule="auto"/>
        <w:ind w:right="-142"/>
        <w:jc w:val="center"/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Ισχυρή </w:t>
      </w:r>
      <w:r w:rsidR="00264DAD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οργανική ανάπτυξη</w:t>
      </w: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 </w:t>
      </w:r>
      <w:r w:rsidR="00AF776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και</w:t>
      </w:r>
      <w:r w:rsidR="0072490E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 </w:t>
      </w:r>
      <w:r w:rsidR="00133641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3 </w:t>
      </w: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εξαγορές σε </w:t>
      </w:r>
      <w:r w:rsidR="00133641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7 </w:t>
      </w: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χρόνια</w:t>
      </w:r>
      <w:r w:rsidR="006A0F2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 έφεραν την </w:t>
      </w:r>
      <w:r w:rsidR="006A0F2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val="en-US" w:eastAsia="el-GR"/>
        </w:rPr>
        <w:t>Postbank</w:t>
      </w:r>
      <w:r w:rsidR="006A0F2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 στο </w:t>
      </w:r>
      <w:r w:rsidR="006A0F2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val="en-US" w:eastAsia="el-GR"/>
        </w:rPr>
        <w:t>Top</w:t>
      </w:r>
      <w:r w:rsidR="006A0F2A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4</w:t>
      </w:r>
    </w:p>
    <w:p w14:paraId="4862EAAA" w14:textId="0CBA0B07" w:rsidR="009667D3" w:rsidRPr="000D1E03" w:rsidRDefault="006A0F2A" w:rsidP="00AE1120">
      <w:pPr>
        <w:shd w:val="clear" w:color="auto" w:fill="FFFFFF"/>
        <w:spacing w:after="0" w:line="240" w:lineRule="auto"/>
        <w:ind w:right="-142"/>
        <w:jc w:val="center"/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της τραπεζικής αγοράς στη Βουλγαρία</w:t>
      </w:r>
    </w:p>
    <w:p w14:paraId="2F5C41B4" w14:textId="77777777" w:rsidR="00F74EE7" w:rsidRPr="000D1E03" w:rsidRDefault="00F74EE7" w:rsidP="00AE1120">
      <w:pPr>
        <w:shd w:val="clear" w:color="auto" w:fill="FFFFFF"/>
        <w:spacing w:after="0" w:line="240" w:lineRule="auto"/>
        <w:ind w:right="-142"/>
        <w:jc w:val="both"/>
        <w:rPr>
          <w:rFonts w:ascii="Eurobank Sans" w:eastAsia="Calibri" w:hAnsi="Eurobank Sans" w:cs="Times New Roman"/>
          <w:color w:val="021342"/>
          <w:sz w:val="20"/>
          <w:szCs w:val="20"/>
          <w:lang w:eastAsia="el-GR"/>
        </w:rPr>
      </w:pPr>
    </w:p>
    <w:p w14:paraId="76CDEA37" w14:textId="60E760BE" w:rsidR="006117EE" w:rsidRPr="000D1E03" w:rsidRDefault="006117EE" w:rsidP="00AE1120">
      <w:pPr>
        <w:pStyle w:val="ListParagraph"/>
        <w:shd w:val="clear" w:color="auto" w:fill="FFFFFF"/>
        <w:ind w:left="0" w:right="-142"/>
        <w:jc w:val="both"/>
        <w:rPr>
          <w:rFonts w:ascii="Eurobank Sans" w:eastAsia="Calibri" w:hAnsi="Eurobank Sans" w:cs="Times New Roman"/>
          <w:iCs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Η συνεδρίαση του Διοικητικού Συμβουλίου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της 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Eurobank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στη Σόφια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,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έχει ιδιαίτερη σημειολογία και έρχεται ως αναγνώριση των ισχυρών αποτελεσμάτων της </w:t>
      </w:r>
      <w:proofErr w:type="spellStart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Postbank</w:t>
      </w:r>
      <w:proofErr w:type="spellEnd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επί σειρά ετών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. 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Η μεγάλη σημασία που αποδίδει ο 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Όμιλος 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>στην επένδυσ</w:t>
      </w:r>
      <w:r w:rsidR="00CA2C51" w:rsidRPr="000D1E03">
        <w:rPr>
          <w:rFonts w:ascii="Eurobank Sans" w:eastAsia="Calibri" w:hAnsi="Eurobank Sans" w:cs="Times New Roman"/>
          <w:color w:val="021342"/>
          <w:lang w:eastAsia="el-GR"/>
        </w:rPr>
        <w:t>ή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του στην </w:t>
      </w:r>
      <w:r w:rsidR="0060629C" w:rsidRPr="000D1E03">
        <w:rPr>
          <w:rFonts w:ascii="Eurobank Sans" w:eastAsia="Calibri" w:hAnsi="Eurobank Sans" w:cs="Times New Roman"/>
          <w:color w:val="021342"/>
          <w:lang w:val="en-US" w:eastAsia="el-GR"/>
        </w:rPr>
        <w:t>Postbank</w:t>
      </w:r>
      <w:r w:rsidR="00CA2C51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="0062208C" w:rsidRPr="000D1E03">
        <w:rPr>
          <w:rFonts w:ascii="Eurobank Sans" w:eastAsia="Calibri" w:hAnsi="Eurobank Sans" w:cs="Times New Roman"/>
          <w:color w:val="021342"/>
          <w:lang w:eastAsia="el-GR"/>
        </w:rPr>
        <w:t>σηματοδοτείται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και από την απόφασ</w:t>
      </w:r>
      <w:r w:rsidR="00CA2C51" w:rsidRPr="000D1E03">
        <w:rPr>
          <w:rFonts w:ascii="Eurobank Sans" w:eastAsia="Calibri" w:hAnsi="Eurobank Sans" w:cs="Times New Roman"/>
          <w:color w:val="021342"/>
          <w:lang w:eastAsia="el-GR"/>
        </w:rPr>
        <w:t>ή</w:t>
      </w:r>
      <w:r w:rsidR="0060629C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του να </w:t>
      </w:r>
      <w:r w:rsidR="00911F2A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προχωρήσει σε τρεις σημαντικές εξαγορές τα τελευταία χρόνια, που ισχυροποίησαν τη 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>θέση του στην τοπική αγορά</w:t>
      </w:r>
      <w:r w:rsidR="00615729" w:rsidRPr="000D1E03">
        <w:rPr>
          <w:rFonts w:ascii="Eurobank Sans" w:eastAsia="Calibri" w:hAnsi="Eurobank Sans" w:cs="Times New Roman"/>
          <w:color w:val="021342"/>
          <w:lang w:eastAsia="el-GR"/>
        </w:rPr>
        <w:t>.</w:t>
      </w:r>
    </w:p>
    <w:p w14:paraId="3D212520" w14:textId="77777777" w:rsidR="006117EE" w:rsidRPr="000D1E03" w:rsidRDefault="006117EE" w:rsidP="00AE1120">
      <w:pPr>
        <w:pStyle w:val="ListParagraph"/>
        <w:shd w:val="clear" w:color="auto" w:fill="FFFFFF"/>
        <w:ind w:left="0" w:right="-142"/>
        <w:jc w:val="both"/>
        <w:rPr>
          <w:rFonts w:ascii="Eurobank Sans" w:eastAsia="Calibri" w:hAnsi="Eurobank Sans" w:cs="Times New Roman"/>
          <w:iCs/>
          <w:color w:val="021342"/>
          <w:sz w:val="18"/>
          <w:szCs w:val="18"/>
          <w:lang w:eastAsia="el-GR"/>
        </w:rPr>
      </w:pPr>
    </w:p>
    <w:p w14:paraId="0748EF79" w14:textId="012DC8DF" w:rsidR="00CA2C51" w:rsidRPr="000D1E03" w:rsidRDefault="006117EE" w:rsidP="00AE1120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iCs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Ισχυρή οργανική ανάπτυξη</w:t>
      </w:r>
      <w:r w:rsidR="00CA2C51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|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="00222948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Το 2022 ήταν μια ιδιαίτερα επιτυχημένη χρονιά για την </w:t>
      </w:r>
      <w:r w:rsidR="00222948" w:rsidRPr="000D1E03">
        <w:rPr>
          <w:rFonts w:ascii="Eurobank Sans" w:eastAsia="Calibri" w:hAnsi="Eurobank Sans" w:cs="Times New Roman"/>
          <w:iCs/>
          <w:color w:val="021342"/>
          <w:lang w:val="en-US" w:eastAsia="el-GR"/>
        </w:rPr>
        <w:t>Postbank</w:t>
      </w:r>
      <w:r w:rsidR="00222948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που κατέγραψε </w:t>
      </w:r>
      <w:r w:rsidR="0062208C" w:rsidRPr="000D1E03">
        <w:rPr>
          <w:rFonts w:ascii="Eurobank Sans" w:eastAsia="Calibri" w:hAnsi="Eurobank Sans" w:cs="Times New Roman"/>
          <w:iCs/>
          <w:color w:val="021342"/>
          <w:lang w:eastAsia="el-GR"/>
        </w:rPr>
        <w:t>ι</w:t>
      </w:r>
      <w:r w:rsidR="00222948" w:rsidRPr="000D1E03">
        <w:rPr>
          <w:rFonts w:ascii="Eurobank Sans" w:eastAsia="Calibri" w:hAnsi="Eurobank Sans" w:cs="Times New Roman"/>
          <w:iCs/>
          <w:color w:val="021342"/>
          <w:lang w:eastAsia="el-GR"/>
        </w:rPr>
        <w:t>σχυρή αύξηση χορηγήσεων και καταθέσεων</w:t>
      </w:r>
      <w:r w:rsidR="00204B6B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, σταθερή βελτίωση εσόδων και κερδοφορίας και </w:t>
      </w:r>
      <w:r w:rsidR="00615729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ισχυρούς </w:t>
      </w:r>
      <w:r w:rsidR="00204B6B" w:rsidRPr="000D1E03">
        <w:rPr>
          <w:rFonts w:ascii="Eurobank Sans" w:eastAsia="Calibri" w:hAnsi="Eurobank Sans" w:cs="Times New Roman"/>
          <w:iCs/>
          <w:color w:val="021342"/>
          <w:lang w:eastAsia="el-GR"/>
        </w:rPr>
        <w:t>δείκτες κεφαλαιακής επάρκειας και ρευστότητας.</w:t>
      </w:r>
    </w:p>
    <w:p w14:paraId="4030DDC6" w14:textId="53ADADA6" w:rsidR="00CA2C51" w:rsidRPr="000D1E03" w:rsidRDefault="00204B6B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iCs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Τα 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κέρδη </w:t>
      </w:r>
      <w:r w:rsidR="00796810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μετά φόρων 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για το σύνολο του έτους αυξήθηκαν κατά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22%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σε σχέση με το 2021 και ανήλθαν σε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€105,7 εκατ.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. 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Οι </w:t>
      </w:r>
      <w:r w:rsidR="00ED483C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χορηγήσεις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="00796810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στο τέλος 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>του 2022 ανέρχον</w:t>
      </w:r>
      <w:r w:rsidR="00796810" w:rsidRPr="000D1E03">
        <w:rPr>
          <w:rFonts w:ascii="Eurobank Sans" w:eastAsia="Calibri" w:hAnsi="Eurobank Sans" w:cs="Times New Roman"/>
          <w:iCs/>
          <w:color w:val="021342"/>
          <w:lang w:eastAsia="el-GR"/>
        </w:rPr>
        <w:t>ταν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σε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€5,323</w:t>
      </w:r>
      <w:r w:rsidR="00E023AE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δισ.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, 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σημειώνοντας 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αύξηση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14%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σε ετήσια βάση</w:t>
      </w:r>
      <w:r w:rsidR="00CA2C51" w:rsidRPr="000D1E03">
        <w:rPr>
          <w:rFonts w:ascii="Eurobank Sans" w:eastAsia="Calibri" w:hAnsi="Eurobank Sans" w:cs="Times New Roman"/>
          <w:iCs/>
          <w:color w:val="021342"/>
          <w:lang w:eastAsia="el-GR"/>
        </w:rPr>
        <w:t>,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ως αποτέλεσμα της οργανικής αύξησης του δανειακού χαρτοφυλακίου τόσο 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προς ιδιώτες όσο και προς επιχειρήσεις. 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Οι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καταθέσεις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αυξήθηκαν κατά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€699,7 εκατ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. ή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11%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σε σύγκριση με το 2021 και ανήλθαν σε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€6,996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δισ.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ως απόρροια της σημαντικής εισροής καταθέσεων το 2022 σε όλους τους </w:t>
      </w:r>
      <w:r w:rsidR="00ED483C" w:rsidRPr="000D1E03">
        <w:rPr>
          <w:rFonts w:ascii="Eurobank Sans" w:eastAsia="Calibri" w:hAnsi="Eurobank Sans" w:cs="Times New Roman"/>
          <w:iCs/>
          <w:color w:val="021342"/>
          <w:lang w:eastAsia="el-GR"/>
        </w:rPr>
        <w:t>τομείς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>.</w:t>
      </w:r>
    </w:p>
    <w:p w14:paraId="2AB75CDE" w14:textId="48EBA547" w:rsidR="006117EE" w:rsidRPr="000D1E03" w:rsidRDefault="00DC57BD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iCs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Τον Ιούνιο του 2022 ο </w:t>
      </w:r>
      <w:r w:rsidR="00E023AE" w:rsidRPr="000D1E03">
        <w:rPr>
          <w:rFonts w:ascii="Eurobank Sans" w:eastAsia="Calibri" w:hAnsi="Eurobank Sans" w:cs="Times New Roman"/>
          <w:iCs/>
          <w:color w:val="021342"/>
          <w:lang w:eastAsia="el-GR"/>
        </w:rPr>
        <w:t>Β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ουλγαρικός Οργανισμός Πιστωτικών Αξιολογήσεων (BCRA) επιβεβαίωσε την μακροπρόθεσμη αξιολόγηση της </w:t>
      </w:r>
      <w:proofErr w:type="spellStart"/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>Postbank</w:t>
      </w:r>
      <w:proofErr w:type="spellEnd"/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στο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BBB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με σταθερή προοπτική (</w:t>
      </w:r>
      <w:proofErr w:type="spellStart"/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>outlook</w:t>
      </w:r>
      <w:proofErr w:type="spellEnd"/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>).</w:t>
      </w:r>
    </w:p>
    <w:p w14:paraId="43D291F3" w14:textId="77777777" w:rsidR="006117EE" w:rsidRPr="000D1E03" w:rsidRDefault="006117EE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iCs/>
          <w:color w:val="021342"/>
          <w:sz w:val="18"/>
          <w:szCs w:val="18"/>
          <w:lang w:eastAsia="el-GR"/>
        </w:rPr>
      </w:pPr>
    </w:p>
    <w:p w14:paraId="15B5501F" w14:textId="133064D2" w:rsidR="00CA2C51" w:rsidRPr="000D1E03" w:rsidRDefault="00F9367E" w:rsidP="00AE1120">
      <w:pPr>
        <w:pStyle w:val="ListParagraph"/>
        <w:numPr>
          <w:ilvl w:val="0"/>
          <w:numId w:val="4"/>
        </w:numPr>
        <w:shd w:val="clear" w:color="auto" w:fill="FFFFFF"/>
        <w:ind w:left="0" w:right="-142"/>
        <w:jc w:val="both"/>
        <w:rPr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Σ</w:t>
      </w:r>
      <w:r w:rsidR="00756E80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υνεπής πορεία επέκτασης </w:t>
      </w:r>
      <w:r w:rsidR="00AD12C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των εργασιών </w:t>
      </w:r>
      <w:r w:rsidR="00756E80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στη</w:t>
      </w:r>
      <w:r w:rsidR="00AD12C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ν αγορά της Βουλγαρίας με τρεις εξαγορές σε </w:t>
      </w:r>
      <w:r w:rsidR="00E023AE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επτά</w:t>
      </w:r>
      <w:r w:rsidR="003D5C8B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AD12C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χρόνια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AF0BC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|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F06489" w:rsidRPr="000D1E03">
        <w:rPr>
          <w:rFonts w:ascii="Eurobank Sans" w:eastAsia="Calibri" w:hAnsi="Eurobank Sans" w:cs="Times New Roman"/>
          <w:iCs/>
          <w:color w:val="021342"/>
          <w:lang w:eastAsia="el-GR"/>
        </w:rPr>
        <w:t>Στα</w:t>
      </w:r>
      <w:r w:rsidR="00F813EF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="00BE7D74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30 χρόνια </w:t>
      </w:r>
      <w:r w:rsidR="00BE7D7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λειτουργίας της </w:t>
      </w:r>
      <w:r w:rsidR="0041162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η </w:t>
      </w:r>
      <w:proofErr w:type="spellStart"/>
      <w:r w:rsidR="00411624" w:rsidRPr="000D1E03">
        <w:rPr>
          <w:rFonts w:ascii="Eurobank Sans" w:eastAsia="Calibri" w:hAnsi="Eurobank Sans" w:cs="Times New Roman"/>
          <w:iCs/>
          <w:color w:val="021342"/>
          <w:lang w:eastAsia="el-GR"/>
        </w:rPr>
        <w:t>Postbank</w:t>
      </w:r>
      <w:proofErr w:type="spellEnd"/>
      <w:r w:rsidR="0041162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="00BE7D7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έχει κατακτήσει σημαντικά μερίδια αγοράς και είναι σήμερα </w:t>
      </w:r>
      <w:r w:rsidR="00BE7D74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η </w:t>
      </w:r>
      <w:r w:rsidR="0062208C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τέταρτη (4</w:t>
      </w:r>
      <w:r w:rsidR="0062208C" w:rsidRPr="000D1E03">
        <w:rPr>
          <w:rFonts w:ascii="Eurobank Sans" w:eastAsia="Calibri" w:hAnsi="Eurobank Sans" w:cs="Times New Roman"/>
          <w:b/>
          <w:bCs/>
          <w:iCs/>
          <w:color w:val="021342"/>
          <w:vertAlign w:val="superscript"/>
          <w:lang w:eastAsia="el-GR"/>
        </w:rPr>
        <w:t>η</w:t>
      </w:r>
      <w:r w:rsidR="0062208C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)</w:t>
      </w:r>
      <w:r w:rsidR="00411624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μεγαλύτερη τράπεζα στη Βουλγαρία σε όρους ενεργητικού</w:t>
      </w:r>
      <w:r w:rsidR="0041162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, διαθέτοντας ένα ευρύ δίκτυο καταστημάτων σε όλη τη χώρα και μια </w:t>
      </w:r>
      <w:r w:rsidR="0062208C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δυναμική</w:t>
      </w:r>
      <w:r w:rsidR="00411624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πελατειακή βάση</w:t>
      </w:r>
      <w:r w:rsidR="00411624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πελατών ιδιωτών, επιχειρήσεων και φορέων</w:t>
      </w:r>
      <w:r w:rsidR="00BE7D74" w:rsidRPr="000D1E03">
        <w:rPr>
          <w:rFonts w:ascii="Eurobank Sans" w:eastAsia="Calibri" w:hAnsi="Eurobank Sans" w:cs="Times New Roman"/>
          <w:iCs/>
          <w:color w:val="021342"/>
          <w:lang w:eastAsia="el-GR"/>
        </w:rPr>
        <w:t>.</w:t>
      </w:r>
    </w:p>
    <w:p w14:paraId="2FD87220" w14:textId="3B6BFD73" w:rsidR="00CA2C51" w:rsidRPr="000D1E03" w:rsidRDefault="00BE7D74" w:rsidP="00AE1120">
      <w:pPr>
        <w:pStyle w:val="ListParagraph"/>
        <w:shd w:val="clear" w:color="auto" w:fill="FFFFFF"/>
        <w:ind w:left="0" w:right="-142"/>
        <w:jc w:val="both"/>
        <w:rPr>
          <w:rFonts w:ascii="Eurobank Sans" w:eastAsia="Calibri" w:hAnsi="Eurobank Sans" w:cs="Times New Roman"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Ισχυρή ώθηση </w:t>
      </w:r>
      <w:r w:rsidR="00796810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για την περαιτέρω 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βελτίωση της θέσης της έδωσαν οι </w:t>
      </w:r>
      <w:r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συμφωνίες για σημαντικές εξαγορές</w:t>
      </w:r>
      <w:r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. Η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Postbank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ολοκλήρωσε σ</w:t>
      </w:r>
      <w:r w:rsidR="00DF2EF3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τα τελευταία </w:t>
      </w:r>
      <w:r w:rsidR="005939ED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επτά</w:t>
      </w:r>
      <w:r w:rsidR="00DF2EF3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(</w:t>
      </w:r>
      <w:r w:rsidR="005939ED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7</w:t>
      </w:r>
      <w:r w:rsidR="00DF2EF3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)</w:t>
      </w:r>
      <w:r w:rsidR="00F0648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μόλις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χρόνια δύο επιτυχημένες </w:t>
      </w:r>
      <w:r w:rsidR="00796810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εξαγορές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, </w:t>
      </w:r>
      <w:r w:rsidR="005D27E7" w:rsidRPr="000D1E03">
        <w:rPr>
          <w:rFonts w:ascii="Eurobank Sans" w:eastAsia="Calibri" w:hAnsi="Eurobank Sans" w:cs="Times New Roman"/>
          <w:iCs/>
          <w:color w:val="021342"/>
          <w:lang w:eastAsia="el-GR"/>
        </w:rPr>
        <w:t>αποκτώντας</w:t>
      </w:r>
      <w:r w:rsidR="006A6F79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και </w:t>
      </w:r>
      <w:r w:rsidR="005D27E7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ενσωματώνοντας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>σε χρόνο – ρεκόρ</w:t>
      </w:r>
      <w:r w:rsidR="00D63DA5" w:rsidRPr="000D1E03">
        <w:rPr>
          <w:rFonts w:ascii="Eurobank Sans" w:eastAsia="Calibri" w:hAnsi="Eurobank Sans" w:cs="Times New Roman"/>
          <w:iCs/>
          <w:color w:val="021342"/>
          <w:lang w:eastAsia="el-GR"/>
        </w:rPr>
        <w:t>,</w:t>
      </w:r>
      <w:r w:rsidR="006A6F79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πρώτα τις τραπεζικές εργασίες της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Alpha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Bank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στη Βουλγαρία</w:t>
      </w:r>
      <w:r w:rsidR="00D63DA5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 </w:t>
      </w:r>
      <w:r w:rsidR="006A6F79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και </w:t>
      </w:r>
      <w:r w:rsidR="009667D3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στη συνέχεια </w:t>
      </w:r>
      <w:r w:rsidR="006A6F79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την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Piraeus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Bank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eastAsia="el-GR"/>
        </w:rPr>
        <w:t xml:space="preserve"> </w:t>
      </w:r>
      <w:r w:rsidR="006A6F79" w:rsidRPr="000D1E03">
        <w:rPr>
          <w:rFonts w:ascii="Eurobank Sans" w:eastAsia="Calibri" w:hAnsi="Eurobank Sans" w:cs="Times New Roman"/>
          <w:b/>
          <w:bCs/>
          <w:iCs/>
          <w:color w:val="021342"/>
          <w:lang w:val="en-US" w:eastAsia="el-GR"/>
        </w:rPr>
        <w:t>Bulgaria</w:t>
      </w:r>
      <w:r w:rsidR="00600892" w:rsidRPr="000D1E03">
        <w:rPr>
          <w:rFonts w:ascii="Eurobank Sans" w:eastAsia="Calibri" w:hAnsi="Eurobank Sans" w:cs="Times New Roman"/>
          <w:iCs/>
          <w:color w:val="021342"/>
          <w:lang w:eastAsia="el-GR"/>
        </w:rPr>
        <w:t xml:space="preserve">. </w:t>
      </w:r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Ο τρίτος σημαντικός σταθμός είναι η συμφωνία</w:t>
      </w:r>
      <w:r w:rsidR="00C76DA0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που πέτυχε το 2022 </w:t>
      </w:r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με τη BNP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Paribas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Personal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Finance</w:t>
      </w:r>
      <w:proofErr w:type="spellEnd"/>
      <w:r w:rsidR="00D63DA5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6A6F7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για την εξαγορά από την </w:t>
      </w:r>
      <w:r w:rsidR="006A6F79" w:rsidRPr="000D1E03">
        <w:rPr>
          <w:rFonts w:ascii="Eurobank Sans" w:eastAsia="Calibri" w:hAnsi="Eurobank Sans" w:cs="Times New Roman"/>
          <w:color w:val="021342"/>
          <w:lang w:val="en-US" w:eastAsia="el-GR"/>
        </w:rPr>
        <w:t>Postbank</w:t>
      </w:r>
      <w:r w:rsidR="006A6F7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της </w:t>
      </w:r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BNP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Paribas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Personal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Finance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Bulgaria</w:t>
      </w:r>
      <w:proofErr w:type="spellEnd"/>
      <w:r w:rsidR="006A6F7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*</w:t>
      </w:r>
      <w:r w:rsidR="006A6F7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. </w:t>
      </w:r>
      <w:r w:rsidR="005E5C33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Η κίνηση αυτή </w:t>
      </w:r>
      <w:r w:rsidR="005E5C3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ενισχύει ιδιαίτερα τη θέση της </w:t>
      </w:r>
      <w:r w:rsidR="005E5C33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Postbank</w:t>
      </w:r>
      <w:r w:rsidR="005E5C3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στην αγορά λιανικής</w:t>
      </w:r>
      <w:r w:rsidR="005E5C33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και δημιουργεί σημαντικές ευκαιρίες για σταυροειδείς πωλήσεις.</w:t>
      </w:r>
    </w:p>
    <w:p w14:paraId="3809D492" w14:textId="1D600DCE" w:rsidR="00D63DA5" w:rsidRPr="000D1E03" w:rsidRDefault="005E5C33" w:rsidP="00AE1120">
      <w:pPr>
        <w:pStyle w:val="ListParagraph"/>
        <w:shd w:val="clear" w:color="auto" w:fill="FFFFFF"/>
        <w:ind w:left="0" w:right="-142"/>
        <w:jc w:val="both"/>
        <w:rPr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Πρέπει να σημειωθεί πως από το 2007, 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η BNP </w:t>
      </w:r>
      <w:proofErr w:type="spellStart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Paribas</w:t>
      </w:r>
      <w:proofErr w:type="spellEnd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Personal</w:t>
      </w:r>
      <w:proofErr w:type="spellEnd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Finance</w:t>
      </w:r>
      <w:proofErr w:type="spellEnd"/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έχτισε ισχυρή παρουσία στην αγορά καταναλωτικής πίστης της Βουλγαρίας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. Λειτουργεί μέσω ενός δικτύου 44 υποκαταστημάτων και κατά το τέλος του Σεπτεμβρίου 2022 </w:t>
      </w:r>
      <w:r w:rsidR="0062208C" w:rsidRPr="000D1E03">
        <w:rPr>
          <w:rFonts w:ascii="Eurobank Sans" w:eastAsia="Calibri" w:hAnsi="Eurobank Sans" w:cs="Times New Roman"/>
          <w:color w:val="021342"/>
          <w:lang w:eastAsia="el-GR"/>
        </w:rPr>
        <w:t>κατέγραφε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σύνολο περιουσιακών στοιχείων €450 εκατ. και καταθέσεις </w:t>
      </w:r>
      <w:r w:rsidR="0062208C" w:rsidRPr="000D1E03">
        <w:rPr>
          <w:rFonts w:ascii="Eurobank Sans" w:eastAsia="Calibri" w:hAnsi="Eurobank Sans" w:cs="Times New Roman"/>
          <w:color w:val="021342"/>
          <w:lang w:eastAsia="el-GR"/>
        </w:rPr>
        <w:t>περί των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€100 εκατ., με ισχυρή κερδοφορία.</w:t>
      </w:r>
    </w:p>
    <w:p w14:paraId="1EF249DB" w14:textId="77777777" w:rsidR="00CA2C51" w:rsidRPr="000D1E03" w:rsidRDefault="00CA2C51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b/>
          <w:bCs/>
          <w:color w:val="021342"/>
          <w:lang w:eastAsia="el-GR"/>
        </w:rPr>
      </w:pPr>
    </w:p>
    <w:p w14:paraId="40E44A89" w14:textId="436F6603" w:rsidR="009667D3" w:rsidRPr="000D1E03" w:rsidRDefault="009667D3" w:rsidP="004B7386">
      <w:pPr>
        <w:shd w:val="clear" w:color="auto" w:fill="E7E6E6" w:themeFill="background2"/>
        <w:spacing w:after="0" w:line="240" w:lineRule="auto"/>
        <w:ind w:right="-142"/>
        <w:jc w:val="center"/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Σειρά συναντήσεων της Διοίκησης της </w:t>
      </w: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val="en-US" w:eastAsia="el-GR"/>
        </w:rPr>
        <w:t>Eurobank</w:t>
      </w:r>
      <w:r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 xml:space="preserve"> </w:t>
      </w:r>
      <w:r w:rsidR="006940E3" w:rsidRPr="000D1E03">
        <w:rPr>
          <w:rFonts w:ascii="Eurobank Sans" w:eastAsia="Calibri" w:hAnsi="Eurobank Sans" w:cs="Times New Roman"/>
          <w:b/>
          <w:bCs/>
          <w:color w:val="021342"/>
          <w:sz w:val="26"/>
          <w:szCs w:val="26"/>
          <w:lang w:eastAsia="el-GR"/>
        </w:rPr>
        <w:t>στη Βουλγαρία</w:t>
      </w:r>
    </w:p>
    <w:p w14:paraId="2866580A" w14:textId="77777777" w:rsidR="00AD12CC" w:rsidRPr="000D1E03" w:rsidRDefault="00AD12CC" w:rsidP="00AE1120">
      <w:pPr>
        <w:shd w:val="clear" w:color="auto" w:fill="FFFFFF"/>
        <w:spacing w:after="0" w:line="240" w:lineRule="auto"/>
        <w:ind w:right="-142"/>
        <w:jc w:val="both"/>
        <w:rPr>
          <w:rFonts w:ascii="Eurobank Sans" w:eastAsia="Calibri" w:hAnsi="Eurobank Sans" w:cs="Times New Roman"/>
          <w:color w:val="021342"/>
          <w:sz w:val="18"/>
          <w:szCs w:val="18"/>
          <w:lang w:eastAsia="el-GR"/>
        </w:rPr>
      </w:pPr>
    </w:p>
    <w:p w14:paraId="17EAB32A" w14:textId="57642466" w:rsidR="00EE708E" w:rsidRPr="000D1E03" w:rsidRDefault="00F74EE7" w:rsidP="00AE112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Συνάντηση Διοίκησης </w:t>
      </w:r>
      <w:r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Eurobank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με τον Πρόεδρο της Δημοκρατίας της Βουλγαρίας</w:t>
      </w:r>
      <w:r w:rsidR="00D63DA5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,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κ.</w:t>
      </w: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 </w:t>
      </w:r>
      <w:r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Rumen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E926F4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Radev</w:t>
      </w:r>
      <w:proofErr w:type="spellEnd"/>
      <w:r w:rsidR="00CA2C5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| </w:t>
      </w:r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>Στη συνάντηση</w:t>
      </w:r>
      <w:r w:rsidR="000E1D31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με τον Πρόεδρο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της Δημοκρατίας της Βουλγαρίας, κ.</w:t>
      </w:r>
      <w:r w:rsidR="00824039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 </w:t>
      </w:r>
      <w:r w:rsidR="00824039" w:rsidRPr="000D1E03">
        <w:rPr>
          <w:rFonts w:ascii="Eurobank Sans" w:eastAsia="Calibri" w:hAnsi="Eurobank Sans" w:cs="Times New Roman"/>
          <w:color w:val="021342"/>
          <w:lang w:val="en-US" w:eastAsia="el-GR"/>
        </w:rPr>
        <w:t>Rumen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proofErr w:type="spellStart"/>
      <w:r w:rsidR="00824039" w:rsidRPr="000D1E03">
        <w:rPr>
          <w:rFonts w:ascii="Eurobank Sans" w:eastAsia="Calibri" w:hAnsi="Eurobank Sans" w:cs="Times New Roman"/>
          <w:color w:val="021342"/>
          <w:lang w:val="en-US" w:eastAsia="el-GR"/>
        </w:rPr>
        <w:t>Radev</w:t>
      </w:r>
      <w:proofErr w:type="spellEnd"/>
      <w:r w:rsidR="00CA2C51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εκ μέρους της </w:t>
      </w:r>
      <w:r w:rsidR="00DF2EF3" w:rsidRPr="000D1E03">
        <w:rPr>
          <w:rFonts w:ascii="Eurobank Sans" w:eastAsia="Calibri" w:hAnsi="Eurobank Sans" w:cs="Times New Roman"/>
          <w:color w:val="021342"/>
          <w:lang w:val="en-US" w:eastAsia="el-GR"/>
        </w:rPr>
        <w:t>Eurobank</w:t>
      </w:r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συμμετείχαν,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ο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Πρόεδρος του Διοικητικού Συμβουλίου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, κ. Γεώργιος Ζανιάς, </w:t>
      </w:r>
      <w:r w:rsidR="00824039" w:rsidRPr="000D1E03">
        <w:rPr>
          <w:rFonts w:ascii="Eurobank Sans" w:eastAsia="Calibri" w:hAnsi="Eurobank Sans" w:cs="Times New Roman"/>
          <w:color w:val="021342"/>
          <w:lang w:val="en-US" w:eastAsia="el-GR"/>
        </w:rPr>
        <w:t>o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Διευθύνων Σύμβουλος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, κ. Φωκίων </w:t>
      </w:r>
      <w:proofErr w:type="spellStart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>Καραβίας</w:t>
      </w:r>
      <w:proofErr w:type="spellEnd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, </w:t>
      </w:r>
      <w:r w:rsidR="00824039" w:rsidRPr="000D1E03">
        <w:rPr>
          <w:rFonts w:ascii="Eurobank Sans" w:eastAsia="Calibri" w:hAnsi="Eurobank Sans" w:cs="Times New Roman"/>
          <w:color w:val="021342"/>
          <w:lang w:val="en-US" w:eastAsia="el-GR"/>
        </w:rPr>
        <w:t>o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Αναπληρωτής Διευθύνων Σύμβουλος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>, κ. Σταύρος Ιωάννου και ο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Επικεφαλής Γενικής Διεύθυνσης Διεθνών Δραστηριοτήτων &amp; Group Private Banking 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της </w:t>
      </w:r>
      <w:r w:rsidR="00CA2C51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Eurobank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>, κ. Μιχάλης Λούης. Στη συνάντηση</w:t>
      </w:r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όπου υπογραμμίστηκε το εξαιρετικό επίπεδο των σχέσεων μεταξύ των δύο χωρών</w:t>
      </w:r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συμμετείχε και η </w:t>
      </w:r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Πρόεδρος του Management Board &amp; Διευθύνουσα Σύμβουλος της </w:t>
      </w:r>
      <w:proofErr w:type="spellStart"/>
      <w:r w:rsidR="0082403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Postbank</w:t>
      </w:r>
      <w:proofErr w:type="spellEnd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, κα </w:t>
      </w:r>
      <w:proofErr w:type="spellStart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>Petia</w:t>
      </w:r>
      <w:proofErr w:type="spellEnd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proofErr w:type="spellStart"/>
      <w:r w:rsidR="00824039" w:rsidRPr="000D1E03">
        <w:rPr>
          <w:rFonts w:ascii="Eurobank Sans" w:eastAsia="Calibri" w:hAnsi="Eurobank Sans" w:cs="Times New Roman"/>
          <w:color w:val="021342"/>
          <w:lang w:eastAsia="el-GR"/>
        </w:rPr>
        <w:t>Dimitrova</w:t>
      </w:r>
      <w:proofErr w:type="spellEnd"/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>.</w:t>
      </w:r>
    </w:p>
    <w:p w14:paraId="6CCEC57F" w14:textId="77777777" w:rsidR="00827926" w:rsidRPr="000D1E03" w:rsidRDefault="00A4498E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Στο πλαίσιο της συζήτησης 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o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Πρόεδρος της Δημοκρατίας της Βουλγαρίας</w:t>
      </w:r>
      <w:r w:rsidR="00EE708E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, 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κ. </w:t>
      </w:r>
      <w:proofErr w:type="spellStart"/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Rumen</w:t>
      </w:r>
      <w:proofErr w:type="spellEnd"/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proofErr w:type="spellStart"/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Radev</w:t>
      </w:r>
      <w:proofErr w:type="spellEnd"/>
      <w:r w:rsidR="00EE708E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,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εξέφρασε</w:t>
      </w:r>
      <w:r w:rsidR="0062208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,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μεταξύ άλλων</w:t>
      </w:r>
      <w:r w:rsidR="0062208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,</w:t>
      </w:r>
      <w:r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την ικανοποίησή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του για την επένδυση του Ομίλου 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Eurobank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στη χώρα αλλά και για το συστημικό ρόλο της 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val="en-US" w:eastAsia="el-GR"/>
        </w:rPr>
        <w:t>Postbank</w:t>
      </w:r>
      <w:r w:rsidR="00DF2EF3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στην ανάπτυξη της βουλγαρικής αγοράς</w:t>
      </w:r>
      <w:r w:rsidR="00DF2EF3" w:rsidRPr="000D1E03">
        <w:rPr>
          <w:rFonts w:ascii="Eurobank Sans" w:eastAsia="Calibri" w:hAnsi="Eurobank Sans" w:cs="Times New Roman"/>
          <w:color w:val="021342"/>
          <w:lang w:eastAsia="el-GR"/>
        </w:rPr>
        <w:t>.</w:t>
      </w:r>
    </w:p>
    <w:p w14:paraId="7B609DFF" w14:textId="53FDBEA4" w:rsidR="00F74EE7" w:rsidRPr="000D1E03" w:rsidRDefault="00A4498E" w:rsidP="00AE1120">
      <w:pPr>
        <w:pStyle w:val="ListParagraph"/>
        <w:shd w:val="clear" w:color="auto" w:fill="FFFFFF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Στη συνάντηση </w:t>
      </w:r>
      <w:r w:rsidR="0061572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συζητήθηκαν θέματα </w:t>
      </w:r>
      <w:r w:rsidR="00F74EE7" w:rsidRPr="000D1E03">
        <w:rPr>
          <w:rFonts w:ascii="Eurobank Sans" w:eastAsia="Calibri" w:hAnsi="Eurobank Sans" w:cs="Times New Roman"/>
          <w:color w:val="021342"/>
          <w:lang w:eastAsia="el-GR"/>
        </w:rPr>
        <w:t>που αφορούν</w:t>
      </w:r>
      <w:r w:rsidR="000E1D31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F74EE7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="0062208C" w:rsidRPr="000D1E03">
        <w:rPr>
          <w:rFonts w:ascii="Eurobank Sans" w:eastAsia="Calibri" w:hAnsi="Eurobank Sans" w:cs="Times New Roman"/>
          <w:color w:val="021342"/>
          <w:lang w:eastAsia="el-GR"/>
        </w:rPr>
        <w:t>ανάμεσα σε άλλα</w:t>
      </w:r>
      <w:r w:rsidR="000E1D31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F74EE7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στα εξής:</w:t>
      </w:r>
    </w:p>
    <w:p w14:paraId="732B0D8A" w14:textId="24E59DD7" w:rsidR="00331399" w:rsidRPr="000D1E03" w:rsidRDefault="007E609F" w:rsidP="00AE1120">
      <w:pPr>
        <w:numPr>
          <w:ilvl w:val="0"/>
          <w:numId w:val="8"/>
        </w:numPr>
        <w:shd w:val="clear" w:color="auto" w:fill="FFFFFF"/>
        <w:spacing w:after="0" w:line="240" w:lineRule="auto"/>
        <w:ind w:left="426" w:right="-142"/>
        <w:jc w:val="both"/>
        <w:rPr>
          <w:rFonts w:ascii="Eurobank Sans" w:eastAsia="Times New Roman" w:hAnsi="Eurobank Sans" w:cs="Times New Roman"/>
          <w:b/>
          <w:bCs/>
          <w:color w:val="021342"/>
          <w:lang w:eastAsia="el-GR"/>
        </w:rPr>
      </w:pP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Τις</w:t>
      </w:r>
      <w:r w:rsidR="00F74EE7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 προοπτικές της παγκόσμιας οικονομίας</w:t>
      </w:r>
      <w:r w:rsidR="00EE708E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.</w:t>
      </w:r>
    </w:p>
    <w:p w14:paraId="55B358A6" w14:textId="17E50571" w:rsidR="00331399" w:rsidRPr="000D1E03" w:rsidRDefault="007E609F" w:rsidP="00AE1120">
      <w:pPr>
        <w:numPr>
          <w:ilvl w:val="0"/>
          <w:numId w:val="8"/>
        </w:numPr>
        <w:shd w:val="clear" w:color="auto" w:fill="FFFFFF"/>
        <w:spacing w:after="0" w:line="240" w:lineRule="auto"/>
        <w:ind w:left="426" w:right="-142"/>
        <w:jc w:val="both"/>
        <w:rPr>
          <w:rFonts w:ascii="Eurobank Sans" w:eastAsia="Times New Roman" w:hAnsi="Eurobank Sans" w:cs="Times New Roman"/>
          <w:color w:val="021342"/>
          <w:lang w:eastAsia="el-GR"/>
        </w:rPr>
      </w:pP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Την</w:t>
      </w:r>
      <w:r w:rsidR="00F74EE7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 </w:t>
      </w:r>
      <w:r w:rsidR="007D6278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ισχυρή </w:t>
      </w:r>
      <w:r w:rsidR="00F74EE7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οικονομική συνεργασία Ελλάδας – Βουλγαρίας</w:t>
      </w:r>
      <w:r w:rsidR="00F74EE7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 σε πολλά πεδία όπως η </w:t>
      </w:r>
      <w:r w:rsidR="00F74EE7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ενέργεια, ο τουρισμός, το εμπόριο, οι επενδύσεις</w:t>
      </w:r>
      <w:r w:rsidR="00F74EE7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 κ.</w:t>
      </w:r>
      <w:r w:rsidR="0062208C" w:rsidRPr="000D1E03">
        <w:rPr>
          <w:rFonts w:ascii="Eurobank Sans" w:eastAsia="Times New Roman" w:hAnsi="Eurobank Sans" w:cs="Times New Roman"/>
          <w:color w:val="021342"/>
          <w:lang w:eastAsia="el-GR"/>
        </w:rPr>
        <w:t>ά</w:t>
      </w:r>
      <w:r w:rsidR="00F74EE7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. </w:t>
      </w:r>
      <w:r w:rsidR="00AD12CC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σε ένα </w:t>
      </w:r>
      <w:r w:rsidR="00A4016E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ευρύτερο </w:t>
      </w:r>
      <w:r w:rsidR="00AD12CC" w:rsidRPr="000D1E03">
        <w:rPr>
          <w:rFonts w:ascii="Eurobank Sans" w:eastAsia="Times New Roman" w:hAnsi="Eurobank Sans" w:cs="Times New Roman"/>
          <w:color w:val="021342"/>
          <w:lang w:eastAsia="el-GR"/>
        </w:rPr>
        <w:t>πλαίσιο εξαιρετικών σχέσεων μεταξύ των δύο χωρών</w:t>
      </w:r>
      <w:r w:rsidR="00A4016E"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 και σε πολιτικό επίπεδο</w:t>
      </w:r>
      <w:r w:rsidR="00AD12CC" w:rsidRPr="000D1E03">
        <w:rPr>
          <w:rFonts w:ascii="Eurobank Sans" w:eastAsia="Times New Roman" w:hAnsi="Eurobank Sans" w:cs="Times New Roman"/>
          <w:color w:val="021342"/>
          <w:lang w:eastAsia="el-GR"/>
        </w:rPr>
        <w:t>.</w:t>
      </w:r>
    </w:p>
    <w:p w14:paraId="1F224534" w14:textId="35D73DA6" w:rsidR="00331399" w:rsidRPr="000D1E03" w:rsidRDefault="007D6278" w:rsidP="00AE1120">
      <w:pPr>
        <w:numPr>
          <w:ilvl w:val="0"/>
          <w:numId w:val="8"/>
        </w:numPr>
        <w:shd w:val="clear" w:color="auto" w:fill="FFFFFF"/>
        <w:spacing w:after="0" w:line="240" w:lineRule="auto"/>
        <w:ind w:left="426" w:right="-142"/>
        <w:jc w:val="both"/>
        <w:rPr>
          <w:rFonts w:ascii="Eurobank Sans" w:eastAsia="Times New Roman" w:hAnsi="Eurobank Sans" w:cs="Times New Roman"/>
          <w:b/>
          <w:bCs/>
          <w:color w:val="021342"/>
          <w:lang w:eastAsia="el-GR"/>
        </w:rPr>
      </w:pP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Τα ισχυρά αποτελέσματα του Ομίλου</w:t>
      </w:r>
      <w:r w:rsidRPr="000D1E03">
        <w:rPr>
          <w:rFonts w:ascii="Eurobank Sans" w:eastAsia="Times New Roman" w:hAnsi="Eurobank Sans" w:cs="Times New Roman"/>
          <w:color w:val="021342"/>
          <w:lang w:eastAsia="el-GR"/>
        </w:rPr>
        <w:t xml:space="preserve"> και η στρατηγική σημασία που αποδίδει στην αγορά της Βουλγαρίας ως </w:t>
      </w: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μια</w:t>
      </w:r>
      <w:r w:rsidR="0062208C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ς</w:t>
      </w: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 αγορά</w:t>
      </w:r>
      <w:r w:rsidR="0062208C"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>ς</w:t>
      </w:r>
      <w:r w:rsidRPr="000D1E03">
        <w:rPr>
          <w:rFonts w:ascii="Eurobank Sans" w:eastAsia="Times New Roman" w:hAnsi="Eurobank Sans" w:cs="Times New Roman"/>
          <w:b/>
          <w:bCs/>
          <w:color w:val="021342"/>
          <w:lang w:eastAsia="el-GR"/>
        </w:rPr>
        <w:t xml:space="preserve"> – κλειδί για τον αναπτυξιακό του σχεδιασμό.</w:t>
      </w:r>
    </w:p>
    <w:p w14:paraId="20EA4DF3" w14:textId="77777777" w:rsidR="00195FB5" w:rsidRPr="000D1E03" w:rsidRDefault="00195FB5" w:rsidP="00AE1120">
      <w:pPr>
        <w:shd w:val="clear" w:color="auto" w:fill="FFFFFF"/>
        <w:spacing w:after="0" w:line="240" w:lineRule="auto"/>
        <w:ind w:right="-142"/>
        <w:jc w:val="both"/>
        <w:rPr>
          <w:rFonts w:ascii="Eurobank Sans" w:eastAsia="Calibri" w:hAnsi="Eurobank Sans" w:cs="Times New Roman"/>
          <w:color w:val="021342"/>
          <w:sz w:val="18"/>
          <w:szCs w:val="18"/>
          <w:lang w:eastAsia="el-GR"/>
        </w:rPr>
      </w:pPr>
    </w:p>
    <w:p w14:paraId="080CA8A4" w14:textId="4D0D119A" w:rsidR="00195FB5" w:rsidRPr="000D1E03" w:rsidRDefault="00824039" w:rsidP="00AE1120">
      <w:pPr>
        <w:pStyle w:val="ListParagraph"/>
        <w:numPr>
          <w:ilvl w:val="0"/>
          <w:numId w:val="7"/>
        </w:numPr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b/>
          <w:bCs/>
          <w:color w:val="021342"/>
          <w:lang w:eastAsia="el-GR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lastRenderedPageBreak/>
        <w:t xml:space="preserve">Στο πλαίσιο της επίσκεψης της Διοίκησης της </w:t>
      </w:r>
      <w:r w:rsidRPr="000D1E03">
        <w:rPr>
          <w:rFonts w:ascii="Eurobank Sans" w:eastAsia="Calibri" w:hAnsi="Eurobank Sans" w:cs="Times New Roman"/>
          <w:color w:val="021342"/>
          <w:lang w:val="en-US" w:eastAsia="el-GR"/>
        </w:rPr>
        <w:t>Eurobank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στην Βουλγαρία, η Τράπεζα παρέθεσε επίσημο δείπνο στο οποίο </w:t>
      </w:r>
      <w:r w:rsidR="00B60DA8" w:rsidRPr="000D1E03">
        <w:rPr>
          <w:rFonts w:ascii="Eurobank Sans" w:eastAsia="Calibri" w:hAnsi="Eurobank Sans" w:cs="Times New Roman"/>
          <w:color w:val="021342"/>
          <w:lang w:eastAsia="el-GR"/>
        </w:rPr>
        <w:t>παρακάθησε</w:t>
      </w:r>
      <w:r w:rsidR="00B60DA8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195FB5" w:rsidRPr="000D1E03">
        <w:rPr>
          <w:rFonts w:ascii="Eurobank Sans" w:eastAsia="Calibri" w:hAnsi="Eurobank Sans" w:cs="Times New Roman"/>
          <w:color w:val="021342"/>
          <w:lang w:eastAsia="el-GR"/>
        </w:rPr>
        <w:t>ο</w:t>
      </w:r>
      <w:r w:rsidR="00195FB5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Πρέσβ</w:t>
      </w:r>
      <w:r w:rsidR="00B60DA8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η</w:t>
      </w:r>
      <w:r w:rsidR="002C0C5D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ς</w:t>
      </w:r>
      <w:r w:rsidR="00195FB5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="0018511C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της Ελληνικής Δημοκρατίας</w:t>
      </w:r>
      <w:r w:rsidR="00F0648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195FB5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στη Βουλγαρία</w:t>
      </w:r>
      <w:r w:rsidR="00EE708E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195FB5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κ. </w:t>
      </w:r>
      <w:r w:rsidR="00E023AE" w:rsidRPr="000D1E03">
        <w:rPr>
          <w:rFonts w:ascii="Eurobank Sans" w:eastAsia="Calibri" w:hAnsi="Eurobank Sans" w:cs="Times New Roman"/>
          <w:color w:val="021342"/>
          <w:lang w:eastAsia="el-GR"/>
        </w:rPr>
        <w:t>Αλέξιος Μάριος Λυμπερ</w:t>
      </w:r>
      <w:r w:rsidR="00F06489" w:rsidRPr="000D1E03">
        <w:rPr>
          <w:rFonts w:ascii="Eurobank Sans" w:eastAsia="Calibri" w:hAnsi="Eurobank Sans" w:cs="Times New Roman"/>
          <w:color w:val="021342"/>
          <w:lang w:eastAsia="el-GR"/>
        </w:rPr>
        <w:t>όπουλος</w:t>
      </w:r>
      <w:r w:rsidR="002A7621" w:rsidRPr="000D1E03">
        <w:rPr>
          <w:rFonts w:ascii="Eurobank Sans" w:eastAsia="Calibri" w:hAnsi="Eurobank Sans" w:cs="Times New Roman"/>
          <w:color w:val="021342"/>
          <w:lang w:eastAsia="el-GR"/>
        </w:rPr>
        <w:t>.</w:t>
      </w:r>
    </w:p>
    <w:p w14:paraId="7810E7B9" w14:textId="77777777" w:rsidR="00D63DA5" w:rsidRPr="000D1E03" w:rsidRDefault="00D63DA5" w:rsidP="00AE1120">
      <w:pPr>
        <w:pStyle w:val="ListParagraph"/>
        <w:spacing w:after="0" w:line="240" w:lineRule="auto"/>
        <w:ind w:left="0" w:right="-142"/>
        <w:jc w:val="both"/>
        <w:rPr>
          <w:rFonts w:ascii="Eurobank Sans" w:eastAsia="Calibri" w:hAnsi="Eurobank Sans" w:cs="Times New Roman"/>
          <w:color w:val="021342"/>
          <w:sz w:val="18"/>
          <w:szCs w:val="18"/>
          <w:lang w:eastAsia="el-GR"/>
        </w:rPr>
      </w:pPr>
    </w:p>
    <w:p w14:paraId="6CA4E188" w14:textId="77777777" w:rsidR="0018511C" w:rsidRPr="000D1E03" w:rsidRDefault="00824039" w:rsidP="00AE1120">
      <w:pPr>
        <w:pStyle w:val="ListParagraph"/>
        <w:numPr>
          <w:ilvl w:val="0"/>
          <w:numId w:val="7"/>
        </w:numPr>
        <w:spacing w:after="0" w:line="240" w:lineRule="auto"/>
        <w:ind w:left="0" w:right="-142"/>
        <w:jc w:val="both"/>
        <w:rPr>
          <w:rFonts w:ascii="Eurobank Sans" w:hAnsi="Eurobank Sans"/>
          <w:color w:val="021342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Τα μέλη της </w:t>
      </w:r>
      <w:r w:rsidR="00331399" w:rsidRPr="000D1E03">
        <w:rPr>
          <w:rFonts w:ascii="Eurobank Sans" w:eastAsia="Calibri" w:hAnsi="Eurobank Sans" w:cs="Times New Roman"/>
          <w:color w:val="021342"/>
          <w:lang w:eastAsia="el-GR"/>
        </w:rPr>
        <w:t>Διοίκησης</w:t>
      </w:r>
      <w:r w:rsidR="00EE708E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της Τράπεζας</w:t>
      </w:r>
      <w:r w:rsidR="0033139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>πραγματοποίησ</w:t>
      </w:r>
      <w:r w:rsidR="00F06489" w:rsidRPr="000D1E03">
        <w:rPr>
          <w:rFonts w:ascii="Eurobank Sans" w:eastAsia="Calibri" w:hAnsi="Eurobank Sans" w:cs="Times New Roman"/>
          <w:color w:val="021342"/>
          <w:lang w:eastAsia="el-GR"/>
        </w:rPr>
        <w:t>αν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σειρά συναντήσεων </w:t>
      </w:r>
      <w:r w:rsidR="00331399" w:rsidRPr="000D1E03">
        <w:rPr>
          <w:rFonts w:ascii="Eurobank Sans" w:eastAsia="Calibri" w:hAnsi="Eurobank Sans" w:cs="Times New Roman"/>
          <w:color w:val="021342"/>
          <w:lang w:eastAsia="el-GR"/>
        </w:rPr>
        <w:t>με</w:t>
      </w:r>
      <w:r w:rsidR="0033139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A4498E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σημαντικούς </w:t>
      </w:r>
      <w:r w:rsidR="00195FB5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εταιρικούς </w:t>
      </w:r>
      <w:r w:rsidR="0033139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πελάτες</w:t>
      </w:r>
      <w:r w:rsidR="00EE708E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</w:t>
      </w:r>
      <w:r w:rsidR="00A4498E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της </w:t>
      </w:r>
      <w:r w:rsidR="00A4498E" w:rsidRPr="000D1E03">
        <w:rPr>
          <w:rFonts w:ascii="Eurobank Sans" w:eastAsia="Calibri" w:hAnsi="Eurobank Sans" w:cs="Times New Roman"/>
          <w:color w:val="021342"/>
          <w:lang w:val="en-US" w:eastAsia="el-GR"/>
        </w:rPr>
        <w:t>Postbank</w:t>
      </w:r>
      <w:r w:rsidR="00A4498E" w:rsidRPr="000D1E03">
        <w:rPr>
          <w:rFonts w:ascii="Eurobank Sans" w:eastAsia="Calibri" w:hAnsi="Eurobank Sans" w:cs="Times New Roman"/>
          <w:color w:val="021342"/>
          <w:lang w:eastAsia="el-GR"/>
        </w:rPr>
        <w:t>.</w:t>
      </w:r>
    </w:p>
    <w:p w14:paraId="4846B5C2" w14:textId="2FFF8B60" w:rsidR="00CD6AE4" w:rsidRPr="000D1E03" w:rsidRDefault="00F06489" w:rsidP="0018511C">
      <w:pPr>
        <w:pStyle w:val="ListParagraph"/>
        <w:spacing w:after="0" w:line="240" w:lineRule="auto"/>
        <w:ind w:left="0" w:right="-142"/>
        <w:jc w:val="both"/>
        <w:rPr>
          <w:rFonts w:ascii="Eurobank Sans" w:hAnsi="Eurobank Sans"/>
          <w:color w:val="021342"/>
        </w:rPr>
      </w:pPr>
      <w:r w:rsidRPr="000D1E03">
        <w:rPr>
          <w:rFonts w:ascii="Eurobank Sans" w:eastAsia="Calibri" w:hAnsi="Eurobank Sans" w:cs="Times New Roman"/>
          <w:color w:val="021342"/>
          <w:lang w:eastAsia="el-GR"/>
        </w:rPr>
        <w:t>Τέλος, η Διοίκηση πραγματοποίησ</w:t>
      </w:r>
      <w:r w:rsidR="002A7621" w:rsidRPr="000D1E03">
        <w:rPr>
          <w:rFonts w:ascii="Eurobank Sans" w:eastAsia="Calibri" w:hAnsi="Eurobank Sans" w:cs="Times New Roman"/>
          <w:color w:val="021342"/>
          <w:lang w:eastAsia="el-GR"/>
        </w:rPr>
        <w:t>ε</w:t>
      </w:r>
      <w:r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συναντήσεις </w:t>
      </w:r>
      <w:r w:rsidR="00331399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με </w:t>
      </w:r>
      <w:r w:rsidR="009D019F" w:rsidRPr="000D1E03">
        <w:rPr>
          <w:rFonts w:ascii="Eurobank Sans" w:eastAsia="Calibri" w:hAnsi="Eurobank Sans" w:cs="Times New Roman"/>
          <w:color w:val="021342"/>
          <w:lang w:eastAsia="el-GR"/>
        </w:rPr>
        <w:t>το</w:t>
      </w:r>
      <w:r w:rsidR="009D019F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331399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>προσωπικό της Τράπεζας</w:t>
      </w:r>
      <w:r w:rsidR="0018511C" w:rsidRPr="000D1E03">
        <w:rPr>
          <w:rFonts w:ascii="Eurobank Sans" w:eastAsia="Calibri" w:hAnsi="Eurobank Sans" w:cs="Times New Roman"/>
          <w:color w:val="021342"/>
          <w:lang w:eastAsia="el-GR"/>
        </w:rPr>
        <w:t>,</w:t>
      </w:r>
      <w:r w:rsidR="00C82891" w:rsidRPr="000D1E03">
        <w:rPr>
          <w:rFonts w:ascii="Eurobank Sans" w:eastAsia="Calibri" w:hAnsi="Eurobank Sans" w:cs="Times New Roman"/>
          <w:color w:val="021342"/>
          <w:lang w:eastAsia="el-GR"/>
        </w:rPr>
        <w:t xml:space="preserve"> όπου συζητήθηκαν οι</w:t>
      </w:r>
      <w:r w:rsidR="00C82891" w:rsidRPr="000D1E03">
        <w:rPr>
          <w:rFonts w:ascii="Eurobank Sans" w:eastAsia="Calibri" w:hAnsi="Eurobank Sans" w:cs="Times New Roman"/>
          <w:b/>
          <w:bCs/>
          <w:color w:val="021342"/>
          <w:lang w:eastAsia="el-GR"/>
        </w:rPr>
        <w:t xml:space="preserve"> </w:t>
      </w:r>
      <w:r w:rsidR="00C82891" w:rsidRPr="000D1E03">
        <w:rPr>
          <w:rFonts w:ascii="Eurobank Sans" w:hAnsi="Eurobank Sans"/>
          <w:color w:val="021342"/>
        </w:rPr>
        <w:t xml:space="preserve">προκλήσεις </w:t>
      </w:r>
      <w:r w:rsidR="00A4498E" w:rsidRPr="000D1E03">
        <w:rPr>
          <w:rFonts w:ascii="Eurobank Sans" w:hAnsi="Eurobank Sans"/>
          <w:color w:val="021342"/>
        </w:rPr>
        <w:t xml:space="preserve">για την περαιτέρω ανάπτυξη </w:t>
      </w:r>
      <w:r w:rsidR="00C82891" w:rsidRPr="000D1E03">
        <w:rPr>
          <w:rFonts w:ascii="Eurobank Sans" w:hAnsi="Eurobank Sans"/>
          <w:color w:val="021342"/>
        </w:rPr>
        <w:t xml:space="preserve">της </w:t>
      </w:r>
      <w:r w:rsidR="0018511C" w:rsidRPr="000D1E03">
        <w:rPr>
          <w:rFonts w:ascii="Eurobank Sans" w:hAnsi="Eurobank Sans"/>
          <w:color w:val="021342"/>
          <w:lang w:val="en-US"/>
        </w:rPr>
        <w:t>Postbank</w:t>
      </w:r>
      <w:r w:rsidR="0018511C" w:rsidRPr="000D1E03">
        <w:rPr>
          <w:rFonts w:ascii="Eurobank Sans" w:hAnsi="Eurobank Sans"/>
          <w:color w:val="021342"/>
        </w:rPr>
        <w:t xml:space="preserve"> </w:t>
      </w:r>
      <w:r w:rsidR="00C82891" w:rsidRPr="000D1E03">
        <w:rPr>
          <w:rFonts w:ascii="Eurobank Sans" w:hAnsi="Eurobank Sans"/>
          <w:color w:val="021342"/>
        </w:rPr>
        <w:t>στη Βουλγαρία</w:t>
      </w:r>
      <w:r w:rsidR="00A4498E" w:rsidRPr="000D1E03">
        <w:rPr>
          <w:rFonts w:ascii="Eurobank Sans" w:hAnsi="Eurobank Sans"/>
          <w:color w:val="021342"/>
        </w:rPr>
        <w:t xml:space="preserve"> καθώς και ζητήματα που αφορούν την τοπική κοινωνία</w:t>
      </w:r>
      <w:r w:rsidR="00C82891" w:rsidRPr="000D1E03">
        <w:rPr>
          <w:rFonts w:ascii="Eurobank Sans" w:hAnsi="Eurobank Sans"/>
          <w:color w:val="021342"/>
        </w:rPr>
        <w:t>.</w:t>
      </w:r>
      <w:r w:rsidR="00AE1120" w:rsidRPr="000D1E03">
        <w:rPr>
          <w:rFonts w:ascii="Eurobank Sans" w:hAnsi="Eurobank Sans"/>
          <w:color w:val="021342"/>
        </w:rPr>
        <w:t>_</w:t>
      </w:r>
    </w:p>
    <w:sectPr w:rsidR="00CD6AE4" w:rsidRPr="000D1E03" w:rsidSect="004B7386">
      <w:footerReference w:type="first" r:id="rId8"/>
      <w:pgSz w:w="11906" w:h="16838"/>
      <w:pgMar w:top="568" w:right="707" w:bottom="993" w:left="709" w:header="708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CB72" w14:textId="77777777" w:rsidR="000E4645" w:rsidRDefault="000E4645" w:rsidP="00892A48">
      <w:pPr>
        <w:spacing w:after="0" w:line="240" w:lineRule="auto"/>
      </w:pPr>
      <w:r>
        <w:separator/>
      </w:r>
    </w:p>
  </w:endnote>
  <w:endnote w:type="continuationSeparator" w:id="0">
    <w:p w14:paraId="7F32CF84" w14:textId="77777777" w:rsidR="000E4645" w:rsidRDefault="000E4645" w:rsidP="0089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altName w:val="Times New Roman"/>
    <w:charset w:val="A1"/>
    <w:family w:val="auto"/>
    <w:pitch w:val="variable"/>
    <w:sig w:usb0="A00002BF" w:usb1="5000000A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EFE6" w14:textId="366E1C98" w:rsidR="00AE1120" w:rsidRPr="004B7386" w:rsidRDefault="00AE1120" w:rsidP="00AE1120">
    <w:pPr>
      <w:ind w:right="-142"/>
      <w:jc w:val="both"/>
      <w:rPr>
        <w:sz w:val="20"/>
        <w:szCs w:val="20"/>
      </w:rPr>
    </w:pPr>
    <w:r w:rsidRPr="004B7386">
      <w:rPr>
        <w:rFonts w:ascii="Eurobank Sans" w:hAnsi="Eurobank Sans"/>
        <w:b/>
        <w:bCs/>
        <w:color w:val="021342"/>
        <w:sz w:val="18"/>
        <w:szCs w:val="18"/>
      </w:rPr>
      <w:t>*</w:t>
    </w:r>
    <w:r w:rsidRPr="004B7386">
      <w:rPr>
        <w:rFonts w:ascii="Eurobank Sans" w:hAnsi="Eurobank Sans"/>
        <w:color w:val="021342"/>
        <w:sz w:val="18"/>
        <w:szCs w:val="18"/>
      </w:rPr>
      <w:t xml:space="preserve">Η σχεδιαζόμενη συναλλαγή υπόκειται σε διαβούλευση με τα όργανα εκπροσώπησης των εργαζομένων της </w:t>
    </w:r>
    <w:r w:rsidRPr="004B7386">
      <w:rPr>
        <w:rFonts w:ascii="Eurobank Sans" w:hAnsi="Eurobank Sans"/>
        <w:b/>
        <w:bCs/>
        <w:color w:val="021342"/>
        <w:sz w:val="18"/>
        <w:szCs w:val="18"/>
      </w:rPr>
      <w:t>BNP Paribas Personal Finance</w:t>
    </w:r>
    <w:r w:rsidRPr="004B7386">
      <w:rPr>
        <w:rFonts w:ascii="Eurobank Sans" w:hAnsi="Eurobank Sans"/>
        <w:color w:val="021342"/>
        <w:sz w:val="18"/>
        <w:szCs w:val="18"/>
      </w:rPr>
      <w:t xml:space="preserve"> και αναμένεται να ολοκληρωθεί κατά το πρώτο εξάμηνο του 2023 υπό την αίρεση λήψης των απαιτούμενων κανονιστικών εγκρίσεων.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C8B6" w14:textId="77777777" w:rsidR="000E4645" w:rsidRDefault="000E4645" w:rsidP="00892A48">
      <w:pPr>
        <w:spacing w:after="0" w:line="240" w:lineRule="auto"/>
      </w:pPr>
      <w:r>
        <w:separator/>
      </w:r>
    </w:p>
  </w:footnote>
  <w:footnote w:type="continuationSeparator" w:id="0">
    <w:p w14:paraId="69EE1506" w14:textId="77777777" w:rsidR="000E4645" w:rsidRDefault="000E4645" w:rsidP="00892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A43"/>
    <w:multiLevelType w:val="hybridMultilevel"/>
    <w:tmpl w:val="F5320F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01E4"/>
    <w:multiLevelType w:val="hybridMultilevel"/>
    <w:tmpl w:val="A710AB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74FD"/>
    <w:multiLevelType w:val="hybridMultilevel"/>
    <w:tmpl w:val="9098A2A8"/>
    <w:lvl w:ilvl="0" w:tplc="7F544B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5C38"/>
    <w:multiLevelType w:val="hybridMultilevel"/>
    <w:tmpl w:val="382088F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03746"/>
    <w:multiLevelType w:val="hybridMultilevel"/>
    <w:tmpl w:val="7218A6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3B5ECF"/>
    <w:multiLevelType w:val="hybridMultilevel"/>
    <w:tmpl w:val="CE60EFAA"/>
    <w:lvl w:ilvl="0" w:tplc="0C045FE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477EF4"/>
    <w:multiLevelType w:val="hybridMultilevel"/>
    <w:tmpl w:val="CA3CE102"/>
    <w:lvl w:ilvl="0" w:tplc="98F80C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D0B03"/>
    <w:multiLevelType w:val="hybridMultilevel"/>
    <w:tmpl w:val="33AA6BB6"/>
    <w:lvl w:ilvl="0" w:tplc="9B8E30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2801">
    <w:abstractNumId w:val="4"/>
  </w:num>
  <w:num w:numId="2" w16cid:durableId="1543862279">
    <w:abstractNumId w:val="4"/>
  </w:num>
  <w:num w:numId="3" w16cid:durableId="586577402">
    <w:abstractNumId w:val="3"/>
  </w:num>
  <w:num w:numId="4" w16cid:durableId="2071920905">
    <w:abstractNumId w:val="7"/>
  </w:num>
  <w:num w:numId="5" w16cid:durableId="681862704">
    <w:abstractNumId w:val="1"/>
  </w:num>
  <w:num w:numId="6" w16cid:durableId="1434209708">
    <w:abstractNumId w:val="0"/>
  </w:num>
  <w:num w:numId="7" w16cid:durableId="1555847677">
    <w:abstractNumId w:val="2"/>
  </w:num>
  <w:num w:numId="8" w16cid:durableId="2091538378">
    <w:abstractNumId w:val="5"/>
  </w:num>
  <w:num w:numId="9" w16cid:durableId="1105266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48"/>
    <w:rsid w:val="000D1E03"/>
    <w:rsid w:val="000E1D31"/>
    <w:rsid w:val="000E4645"/>
    <w:rsid w:val="00133641"/>
    <w:rsid w:val="00134119"/>
    <w:rsid w:val="0018511C"/>
    <w:rsid w:val="00195FB5"/>
    <w:rsid w:val="00204B6B"/>
    <w:rsid w:val="00222948"/>
    <w:rsid w:val="00264DAD"/>
    <w:rsid w:val="002A75CD"/>
    <w:rsid w:val="002A7621"/>
    <w:rsid w:val="002C0C5D"/>
    <w:rsid w:val="00320705"/>
    <w:rsid w:val="00331399"/>
    <w:rsid w:val="00375A84"/>
    <w:rsid w:val="003D5C8B"/>
    <w:rsid w:val="003F56D4"/>
    <w:rsid w:val="00411624"/>
    <w:rsid w:val="00423C53"/>
    <w:rsid w:val="004B7386"/>
    <w:rsid w:val="00537B59"/>
    <w:rsid w:val="005939ED"/>
    <w:rsid w:val="005D27E7"/>
    <w:rsid w:val="005E5C33"/>
    <w:rsid w:val="00600892"/>
    <w:rsid w:val="0060629C"/>
    <w:rsid w:val="006117EE"/>
    <w:rsid w:val="00615729"/>
    <w:rsid w:val="0062208C"/>
    <w:rsid w:val="006940E3"/>
    <w:rsid w:val="006A0F2A"/>
    <w:rsid w:val="006A6F79"/>
    <w:rsid w:val="006F5F47"/>
    <w:rsid w:val="0072490E"/>
    <w:rsid w:val="00736A00"/>
    <w:rsid w:val="00756E80"/>
    <w:rsid w:val="00796810"/>
    <w:rsid w:val="007D1468"/>
    <w:rsid w:val="007D6278"/>
    <w:rsid w:val="007E609F"/>
    <w:rsid w:val="00812EDC"/>
    <w:rsid w:val="00824039"/>
    <w:rsid w:val="00827926"/>
    <w:rsid w:val="008400E4"/>
    <w:rsid w:val="00844D92"/>
    <w:rsid w:val="008526CE"/>
    <w:rsid w:val="00892A48"/>
    <w:rsid w:val="008A548B"/>
    <w:rsid w:val="008C53C5"/>
    <w:rsid w:val="00911F2A"/>
    <w:rsid w:val="00951772"/>
    <w:rsid w:val="009667D3"/>
    <w:rsid w:val="009D019F"/>
    <w:rsid w:val="00A1375E"/>
    <w:rsid w:val="00A32D66"/>
    <w:rsid w:val="00A4016E"/>
    <w:rsid w:val="00A4498E"/>
    <w:rsid w:val="00AD12CC"/>
    <w:rsid w:val="00AD68A7"/>
    <w:rsid w:val="00AE1120"/>
    <w:rsid w:val="00AF0BC1"/>
    <w:rsid w:val="00AF776A"/>
    <w:rsid w:val="00B60DA8"/>
    <w:rsid w:val="00BE7D74"/>
    <w:rsid w:val="00BF0B06"/>
    <w:rsid w:val="00C32ED5"/>
    <w:rsid w:val="00C41A5B"/>
    <w:rsid w:val="00C47239"/>
    <w:rsid w:val="00C76DA0"/>
    <w:rsid w:val="00C82891"/>
    <w:rsid w:val="00C93E9B"/>
    <w:rsid w:val="00CA2C51"/>
    <w:rsid w:val="00CC625B"/>
    <w:rsid w:val="00CD6AE4"/>
    <w:rsid w:val="00D6123A"/>
    <w:rsid w:val="00D62CCA"/>
    <w:rsid w:val="00D63DA5"/>
    <w:rsid w:val="00D91BEA"/>
    <w:rsid w:val="00DC57BD"/>
    <w:rsid w:val="00DF2EF3"/>
    <w:rsid w:val="00E023AE"/>
    <w:rsid w:val="00E32C50"/>
    <w:rsid w:val="00E926F4"/>
    <w:rsid w:val="00ED483C"/>
    <w:rsid w:val="00EE708E"/>
    <w:rsid w:val="00EF07E1"/>
    <w:rsid w:val="00EF297D"/>
    <w:rsid w:val="00F06489"/>
    <w:rsid w:val="00F74EE7"/>
    <w:rsid w:val="00F813EF"/>
    <w:rsid w:val="00F84F57"/>
    <w:rsid w:val="00F9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9BE94"/>
  <w15:chartTrackingRefBased/>
  <w15:docId w15:val="{11B26316-3531-44A8-815F-967F388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E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2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2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278"/>
    <w:rPr>
      <w:b/>
      <w:bCs/>
      <w:sz w:val="20"/>
      <w:szCs w:val="20"/>
    </w:rPr>
  </w:style>
  <w:style w:type="paragraph" w:styleId="NoSpacing">
    <w:name w:val="No Spacing"/>
    <w:uiPriority w:val="1"/>
    <w:qFormat/>
    <w:rsid w:val="006A6F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6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D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67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20"/>
  </w:style>
  <w:style w:type="paragraph" w:styleId="Footer">
    <w:name w:val="footer"/>
    <w:basedOn w:val="Normal"/>
    <w:link w:val="FooterChar"/>
    <w:uiPriority w:val="99"/>
    <w:unhideWhenUsed/>
    <w:rsid w:val="00AE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56F1-F506-4CBE-AB14-6F8DC46A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 SA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Arlapanou Eleftheria</dc:creator>
  <cp:keywords/>
  <dc:description/>
  <cp:lastModifiedBy>Kostats Sarris</cp:lastModifiedBy>
  <cp:revision>2</cp:revision>
  <dcterms:created xsi:type="dcterms:W3CDTF">2023-03-29T08:14:00Z</dcterms:created>
  <dcterms:modified xsi:type="dcterms:W3CDTF">2023-03-29T08:14:00Z</dcterms:modified>
</cp:coreProperties>
</file>